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Non-Markovian Quantum Exceptional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Jhen-Dong Lin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Affiliation: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Department of Physics, National Cheng Kung University, Tainan 701, Taiwan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Center for Quantum Frontiers of Research &amp; Technology, NCKU, Tainan 701, Taiwan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Abstract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Exceptional points (EPs) are singularities in the spectra of non-Hermitian operators, where eigenvalues and eigenvectors coalesce. Recently, open quantum systems have been increasingly explored as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testbeds for quantum EPs due to their natural non-Hermitian nature. However, existing works mostly focus on the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Markovian limit, leaving a gap in understanding EPs in the non-Markovian regime. In this work, I will present our new results, where we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address this gap by proposing a theoretical framework based on two numerically exact descriptions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of non-Markovian dynamics: the pseudomode mapping and the hierarchical equations of motion.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 unveil pure non-Markovian EPs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that are unobservable in the Markovian limit. Remarkably, the EP aligns with the Markovian-to-non-Markovian transition. Moreover, we show that structured environments can elevate EP order, thereby enhancing the system’s sensitivity.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